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BE8C" w14:textId="77777777" w:rsidR="00C2305D" w:rsidRPr="00C2305D" w:rsidRDefault="00C2305D" w:rsidP="00C2305D">
      <w:pPr>
        <w:widowControl/>
        <w:shd w:val="clear" w:color="auto" w:fill="FFFFFF"/>
        <w:spacing w:line="675" w:lineRule="atLeast"/>
        <w:jc w:val="center"/>
        <w:outlineLvl w:val="1"/>
        <w:rPr>
          <w:rFonts w:ascii="微软雅黑" w:eastAsia="微软雅黑" w:hAnsi="微软雅黑" w:cs="宋体"/>
          <w:color w:val="333333"/>
          <w:kern w:val="0"/>
          <w:sz w:val="45"/>
          <w:szCs w:val="45"/>
        </w:rPr>
      </w:pPr>
      <w:r w:rsidRPr="00C2305D">
        <w:rPr>
          <w:rFonts w:ascii="微软雅黑" w:eastAsia="微软雅黑" w:hAnsi="微软雅黑" w:cs="宋体" w:hint="eastAsia"/>
          <w:color w:val="333333"/>
          <w:kern w:val="0"/>
          <w:sz w:val="45"/>
          <w:szCs w:val="45"/>
        </w:rPr>
        <w:t>财政部关于促进政府采购公平竞争优化营商环境的通知</w:t>
      </w:r>
    </w:p>
    <w:p w14:paraId="629DD0BB" w14:textId="77777777" w:rsidR="00C2305D" w:rsidRPr="00C2305D" w:rsidRDefault="00C2305D" w:rsidP="00C2305D">
      <w:pPr>
        <w:widowControl/>
        <w:shd w:val="clear" w:color="auto" w:fill="FFFFFF"/>
        <w:spacing w:line="600" w:lineRule="atLeast"/>
        <w:jc w:val="left"/>
        <w:rPr>
          <w:rFonts w:ascii="微软雅黑" w:eastAsia="微软雅黑" w:hAnsi="微软雅黑" w:cs="宋体" w:hint="eastAsia"/>
          <w:color w:val="999999"/>
          <w:kern w:val="0"/>
          <w:sz w:val="23"/>
          <w:szCs w:val="23"/>
        </w:rPr>
      </w:pPr>
      <w:r w:rsidRPr="00C2305D">
        <w:rPr>
          <w:rFonts w:ascii="微软雅黑" w:eastAsia="微软雅黑" w:hAnsi="微软雅黑" w:cs="宋体" w:hint="eastAsia"/>
          <w:color w:val="999999"/>
          <w:kern w:val="0"/>
          <w:sz w:val="23"/>
          <w:szCs w:val="23"/>
        </w:rPr>
        <w:t>发布日期：2019年12月30日</w:t>
      </w:r>
    </w:p>
    <w:p w14:paraId="5B5D87E6" w14:textId="1365EC8A" w:rsidR="00C2305D" w:rsidRPr="00C2305D" w:rsidRDefault="00C2305D" w:rsidP="00C2305D">
      <w:pPr>
        <w:widowControl/>
        <w:shd w:val="clear" w:color="auto" w:fill="FFFFFF"/>
        <w:spacing w:line="600" w:lineRule="atLeast"/>
        <w:jc w:val="center"/>
        <w:rPr>
          <w:rFonts w:ascii="微软雅黑" w:eastAsia="微软雅黑" w:hAnsi="微软雅黑" w:cs="宋体" w:hint="eastAsia"/>
          <w:color w:val="333333"/>
          <w:kern w:val="0"/>
          <w:sz w:val="23"/>
          <w:szCs w:val="23"/>
        </w:rPr>
      </w:pPr>
      <w:r w:rsidRPr="00C2305D">
        <w:rPr>
          <w:rFonts w:ascii="微软雅黑" w:eastAsia="微软雅黑" w:hAnsi="微软雅黑" w:cs="宋体"/>
          <w:noProof/>
          <w:color w:val="333333"/>
          <w:kern w:val="0"/>
          <w:sz w:val="23"/>
          <w:szCs w:val="23"/>
        </w:rPr>
        <w:drawing>
          <wp:inline distT="0" distB="0" distL="0" distR="0" wp14:anchorId="62CF346D" wp14:editId="244C04EE">
            <wp:extent cx="209550" cy="2095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2305D">
        <w:rPr>
          <w:rFonts w:ascii="微软雅黑" w:eastAsia="微软雅黑" w:hAnsi="微软雅黑" w:cs="宋体"/>
          <w:noProof/>
          <w:color w:val="333333"/>
          <w:kern w:val="0"/>
          <w:sz w:val="23"/>
          <w:szCs w:val="23"/>
        </w:rPr>
        <w:drawing>
          <wp:inline distT="0" distB="0" distL="0" distR="0" wp14:anchorId="421B3275" wp14:editId="4888F085">
            <wp:extent cx="242570" cy="242570"/>
            <wp:effectExtent l="0" t="0" r="508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570" cy="242570"/>
                    </a:xfrm>
                    <a:prstGeom prst="rect">
                      <a:avLst/>
                    </a:prstGeom>
                    <a:noFill/>
                    <a:ln>
                      <a:noFill/>
                    </a:ln>
                  </pic:spPr>
                </pic:pic>
              </a:graphicData>
            </a:graphic>
          </wp:inline>
        </w:drawing>
      </w:r>
      <w:r w:rsidRPr="00C2305D">
        <w:rPr>
          <w:rFonts w:ascii="微软雅黑" w:eastAsia="微软雅黑" w:hAnsi="微软雅黑" w:cs="宋体" w:hint="eastAsia"/>
          <w:color w:val="333333"/>
          <w:kern w:val="0"/>
          <w:sz w:val="23"/>
          <w:szCs w:val="23"/>
        </w:rPr>
        <w:t> </w:t>
      </w:r>
      <w:r w:rsidRPr="00C2305D">
        <w:rPr>
          <w:rFonts w:ascii="微软雅黑" w:eastAsia="微软雅黑" w:hAnsi="微软雅黑" w:cs="宋体"/>
          <w:noProof/>
          <w:color w:val="333333"/>
          <w:kern w:val="0"/>
          <w:sz w:val="23"/>
          <w:szCs w:val="23"/>
        </w:rPr>
        <w:drawing>
          <wp:inline distT="0" distB="0" distL="0" distR="0" wp14:anchorId="286B8BD2" wp14:editId="110E3563">
            <wp:extent cx="242570" cy="242570"/>
            <wp:effectExtent l="0" t="0" r="508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570" cy="242570"/>
                    </a:xfrm>
                    <a:prstGeom prst="rect">
                      <a:avLst/>
                    </a:prstGeom>
                    <a:noFill/>
                    <a:ln>
                      <a:noFill/>
                    </a:ln>
                  </pic:spPr>
                </pic:pic>
              </a:graphicData>
            </a:graphic>
          </wp:inline>
        </w:drawing>
      </w:r>
    </w:p>
    <w:p w14:paraId="2E3366F6" w14:textId="77777777" w:rsidR="00C2305D" w:rsidRPr="00C2305D" w:rsidRDefault="00C2305D" w:rsidP="00C2305D">
      <w:pPr>
        <w:widowControl/>
        <w:shd w:val="clear" w:color="auto" w:fill="FFFFFF"/>
        <w:spacing w:after="150"/>
        <w:jc w:val="center"/>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2019年7月26日 财库〔2019〕38号</w:t>
      </w:r>
    </w:p>
    <w:p w14:paraId="0501AE22"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各中央预算单位，各省、自治区、直辖市、计划单列市财政厅（局），新疆生产建设兵团财政局：</w:t>
      </w:r>
    </w:p>
    <w:p w14:paraId="2C81FBC2"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为贯彻落实</w:t>
      </w:r>
      <w:proofErr w:type="gramStart"/>
      <w:r w:rsidRPr="00C2305D">
        <w:rPr>
          <w:rFonts w:ascii="宋体" w:eastAsia="宋体" w:hAnsi="宋体" w:cs="宋体" w:hint="eastAsia"/>
          <w:color w:val="333333"/>
          <w:kern w:val="0"/>
          <w:sz w:val="24"/>
          <w:szCs w:val="24"/>
        </w:rPr>
        <w:t>中央深改委</w:t>
      </w:r>
      <w:proofErr w:type="gramEnd"/>
      <w:r w:rsidRPr="00C2305D">
        <w:rPr>
          <w:rFonts w:ascii="宋体" w:eastAsia="宋体" w:hAnsi="宋体" w:cs="宋体" w:hint="eastAsia"/>
          <w:color w:val="333333"/>
          <w:kern w:val="0"/>
          <w:sz w:val="24"/>
          <w:szCs w:val="24"/>
        </w:rPr>
        <w:t>审议通过的《深化政府采购制度改革方案》和《国务院办公厅关于聚焦企业关切进一步推动优化营商环境政策落实的通知》（国办发〔2018〕104号）有关要求，构建统一开放、竞争有序的政府采购市场体系，现就促进政府采购领域公平竞争、优化营商环境相关事项通知如下：</w:t>
      </w:r>
    </w:p>
    <w:p w14:paraId="11A41E2A"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 xml:space="preserve">　一、全面清理政府采购领域妨碍公平竞争的规定和做法</w:t>
      </w:r>
    </w:p>
    <w:p w14:paraId="6025FF2E"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各地区、各部门应当严格落实《中华人民共和国政府采购法》等相关法律法规的要求，依法保障各类市场主体平等参与政府采购活动的权利。要全面清理政府采购领域妨碍公平竞争的规定和做法，重点清理和纠正以下问题：</w:t>
      </w:r>
    </w:p>
    <w:p w14:paraId="2CBB845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（一）以供应商的所有制形式、组织形式或者股权结构，对供应商实施差别待遇或者歧视待遇，对民营企业设置不平等条款，对内资企业和外资企业在中国境内生产的产品、提供的服务区别对待；</w:t>
      </w:r>
    </w:p>
    <w:p w14:paraId="30CFF3E3"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（二）除小额零星采购适用的协议供货、定点采购以及财政部另有规定的情形外，通过入围方式设置备选库、名录库、资格</w:t>
      </w:r>
      <w:proofErr w:type="gramStart"/>
      <w:r w:rsidRPr="00C2305D">
        <w:rPr>
          <w:rFonts w:ascii="宋体" w:eastAsia="宋体" w:hAnsi="宋体" w:cs="宋体" w:hint="eastAsia"/>
          <w:color w:val="333333"/>
          <w:kern w:val="0"/>
          <w:sz w:val="24"/>
          <w:szCs w:val="24"/>
        </w:rPr>
        <w:t>库作为</w:t>
      </w:r>
      <w:proofErr w:type="gramEnd"/>
      <w:r w:rsidRPr="00C2305D">
        <w:rPr>
          <w:rFonts w:ascii="宋体" w:eastAsia="宋体" w:hAnsi="宋体" w:cs="宋体" w:hint="eastAsia"/>
          <w:color w:val="333333"/>
          <w:kern w:val="0"/>
          <w:sz w:val="24"/>
          <w:szCs w:val="24"/>
        </w:rPr>
        <w:t>参与政府采购活动的资格条件，妨碍供应商进入政府采购市场；</w:t>
      </w:r>
    </w:p>
    <w:p w14:paraId="34CC2AD9"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（三）要求供应商在政府采购活动前进行不必要的登记、注册，或者要求设立分支机构，设置或者变相设置进入政府采购市场的障碍；</w:t>
      </w:r>
    </w:p>
    <w:p w14:paraId="1794A97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（四）设置或者变相设置供应商规模、成立年限等门槛，限制供应商参与政府采购活动；</w:t>
      </w:r>
    </w:p>
    <w:p w14:paraId="3D350907"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（五）要求供应商购买指定软件，作为参加电子化政府采购活动的条件；</w:t>
      </w:r>
    </w:p>
    <w:p w14:paraId="36A8152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（六）不依法及时、有效、完整发布或者提供采购项目信息，妨碍供应商参与政府采购活动；</w:t>
      </w:r>
    </w:p>
    <w:p w14:paraId="693F66AE"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（七）强制要求采购人采用抓阄、摇号等随机方式或者比选方式选择采购代理机构，干预采购人自主选择采购代理机构；</w:t>
      </w:r>
    </w:p>
    <w:p w14:paraId="40531D4B"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（八）设置没有法律法规依据的审批、备案、监管、处罚、收费等事项；</w:t>
      </w:r>
    </w:p>
    <w:p w14:paraId="4F97984B"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lastRenderedPageBreak/>
        <w:t xml:space="preserve">　　（九）除《政府采购货物和服务招标投标管理办法》第六十八条规定的情形外，要求采购人采用随机方式确定中标、成交供应商；</w:t>
      </w:r>
    </w:p>
    <w:p w14:paraId="05BA4B1E"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（十）违反法律法规相关规定的其他妨碍公平竞争的情形。</w:t>
      </w:r>
    </w:p>
    <w:p w14:paraId="56E07784"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各地区、各部门要抓紧清理政府采购领域妨碍公平竞争的规定和做法，有关清理结果要及时向社会公开，并于2019年10月31日前报送财政部。</w:t>
      </w:r>
    </w:p>
    <w:p w14:paraId="7C55F6F0"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二、严格执行公平竞争审查制度</w:t>
      </w:r>
    </w:p>
    <w:p w14:paraId="08EF5C49"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各地区、各部门制定涉及市场主体的政府采购制度办法，要严格执行公平竞争审查制度，充分听取市场主体和相关行业协会商会意见，评估对市场竞争的影响，防止出现排除、限制市场竞争问题。重点审查制度办法是否设置不合理和歧视性的准入条件排斥潜在供应商参与政府采购活动，是否设置没有法律法规依据的行政审批或者具有审批性质的备案，是否违规给予特定供应商优惠待遇等。经审查认为不具有排除、限制竞争效果的，可以颁布实施；具有排除、限制竞争效果的，应当</w:t>
      </w:r>
      <w:proofErr w:type="gramStart"/>
      <w:r w:rsidRPr="00C2305D">
        <w:rPr>
          <w:rFonts w:ascii="宋体" w:eastAsia="宋体" w:hAnsi="宋体" w:cs="宋体" w:hint="eastAsia"/>
          <w:color w:val="333333"/>
          <w:kern w:val="0"/>
          <w:sz w:val="24"/>
          <w:szCs w:val="24"/>
        </w:rPr>
        <w:t>不予出台</w:t>
      </w:r>
      <w:proofErr w:type="gramEnd"/>
      <w:r w:rsidRPr="00C2305D">
        <w:rPr>
          <w:rFonts w:ascii="宋体" w:eastAsia="宋体" w:hAnsi="宋体" w:cs="宋体" w:hint="eastAsia"/>
          <w:color w:val="333333"/>
          <w:kern w:val="0"/>
          <w:sz w:val="24"/>
          <w:szCs w:val="24"/>
        </w:rPr>
        <w:t>或者调整至符合相关要求后出台；未经公平竞争审查的，不得出台。</w:t>
      </w:r>
    </w:p>
    <w:p w14:paraId="61B4232D"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在政府采购相关制度办法实施过程中，应当定期或者适时评估其对全国统一市场和公平竞争的影响，对妨碍统一市场和公平竞争的，要及时修改完善或者予以废止。</w:t>
      </w:r>
    </w:p>
    <w:p w14:paraId="56B65A33"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三、加强政府采购执行管理</w:t>
      </w:r>
    </w:p>
    <w:p w14:paraId="2CAF431A"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优化采购活动办事程序。对于供应商法人代表已经出具委托书的，不得要求供应商法人代表亲自领购采购文件或者到场参加开标、谈判等。对于采购人、采购代理机构可以通过互联网或者相关信息系统查询的信息，不得要求供应商提供。除必要的原件核对外，对于供应商能够在线提供的材料，不得要求供应商同时提供纸质材料。对于供应商依照规定提交各类声明函、承诺函的，不得要求其再提供有关部门出具的相关证明文件。</w:t>
      </w:r>
    </w:p>
    <w:p w14:paraId="5AADF77D"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细化采购活动执行要求。采购人允许采用分包方式履行合同的，应当在采购文件中明确可以分包履行的具体内容、金额或者比例。采购人、采购代理机构对投标（响应）文件的格式、形式要求应当简化明确，不得因装订、纸张、文件排序等非实质性的格式、形式问题限制和影响供应商投标（响应）。实现电子化采购的，采购人、采购代理机构应当向供应商免费提供电子采购文件；暂未实现电子化采购的，鼓励采购人、采购代理机构向供应商免费提供纸质采购文件。</w:t>
      </w:r>
    </w:p>
    <w:p w14:paraId="5EFC5558"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规范保证金收取和退还。采购人、采购代理机构应当允许供应商自主选择以支票、汇票、本票、保函等非现金形式缴纳或提交保证金。收取投标（响应）保证金的，采购人、采购代理机构约定的到账（保函提交）截止时间应当与投标（响应）截止时间一致，并按照规定及时退还供应商。收取履约保证金的，应当在采购合同中约定履约保证金退还的方式、时间、条件和不予退还的情形，明确逾期退还履约保证金的违约责任。采购人、采购代理机构不得收取没有法律法规依据的保证金。</w:t>
      </w:r>
    </w:p>
    <w:p w14:paraId="1162F02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lastRenderedPageBreak/>
        <w:t xml:space="preserve">　　及时支付采购资金。政府采购合同应当约定资金支付的方式、时间和条件，明确逾期支付资金的违约责任。对于满足合同约定支付条件的，采购人应当自收到发票后30日内将资金支付到合同约定的供应商账户，不得以机构变动、人员更替、政策调整等为由延迟付款，不得将采购文件和合同中未规定的义务作为向供应商付款的条件。</w:t>
      </w:r>
    </w:p>
    <w:p w14:paraId="1BA2EFB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完善对供应商的利益损害赔偿和补偿机制。采购人和供应商应当在政府采购合同中明确约定双方的违约责任。对于因采购</w:t>
      </w:r>
      <w:proofErr w:type="gramStart"/>
      <w:r w:rsidRPr="00C2305D">
        <w:rPr>
          <w:rFonts w:ascii="宋体" w:eastAsia="宋体" w:hAnsi="宋体" w:cs="宋体" w:hint="eastAsia"/>
          <w:color w:val="333333"/>
          <w:kern w:val="0"/>
          <w:sz w:val="24"/>
          <w:szCs w:val="24"/>
        </w:rPr>
        <w:t>人原因</w:t>
      </w:r>
      <w:proofErr w:type="gramEnd"/>
      <w:r w:rsidRPr="00C2305D">
        <w:rPr>
          <w:rFonts w:ascii="宋体" w:eastAsia="宋体" w:hAnsi="宋体" w:cs="宋体" w:hint="eastAsia"/>
          <w:color w:val="333333"/>
          <w:kern w:val="0"/>
          <w:sz w:val="24"/>
          <w:szCs w:val="24"/>
        </w:rPr>
        <w:t>导致变更、中止或者终止政府采购合同的，采购人应当依照合同约定对供应商受到的损失予以赔偿或者补偿。</w:t>
      </w:r>
    </w:p>
    <w:p w14:paraId="54D21AA3"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四、加快推进电子化政府采购</w:t>
      </w:r>
    </w:p>
    <w:p w14:paraId="1B54C80B"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推进采购项目电子化实施。要加快完善电子化政府采购平台的网上交易功能，实现在线发布采购公告、提供采购文件、提交投标（响应）文件，实行电子开标、电子评审。逐步建立电子化政府采购平台与财政业务、采购单位内部管理等信息系统的衔接，完善和优化合同签订、履约验收、信用评价、用户反馈、提交发票、资金支付等线上流程。</w:t>
      </w:r>
    </w:p>
    <w:p w14:paraId="1E8B05E5"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加快实施“互联网+政府采购”行动。积极推进电子化政府采购平台和电子卖场建设，建立健全统一的技术标准和数据规范，逐步实现全国范围内的互联互通，推动与公共资源交易平台数据共享，提升供应商参与政府采购活动的便利程度。</w:t>
      </w:r>
    </w:p>
    <w:p w14:paraId="566DE8FF"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五、进一步提升政府采购透明度</w:t>
      </w:r>
    </w:p>
    <w:p w14:paraId="5190716D"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加强政府采购透明度建设。完善政府采购信息发布平台服务功能。中国政府采购网及地方分网等政府采购信息发布平台应当提供便捷、免费的在线检索服务，向市场主体无偿提供所有依法公开的政府采购信息。推进开标活动对外公开，在保证正常开标秩序的前提下，允许除投标人及其代表之外的其他人员观摩开标活动。</w:t>
      </w:r>
    </w:p>
    <w:p w14:paraId="2D5C46EE"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推进采购意向公开。采购意向包括主要采购项目、采购内容及需求概况、预算金额、预计采购时间等。为便于供应商提前了解采购信息，各地区、各部门应当创造条件积极推进采购意向公开（涉密信息除外）。自2020年起，选择部分中央部门和地方开展公开采购意向试点。在试点基础上，逐步实现各级预算单位采购意向公开。</w:t>
      </w:r>
    </w:p>
    <w:p w14:paraId="4819D441"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w:t>
      </w:r>
      <w:r w:rsidRPr="00C2305D">
        <w:rPr>
          <w:rFonts w:ascii="宋体" w:eastAsia="宋体" w:hAnsi="宋体" w:cs="宋体" w:hint="eastAsia"/>
          <w:b/>
          <w:bCs/>
          <w:color w:val="333333"/>
          <w:kern w:val="0"/>
          <w:sz w:val="24"/>
          <w:szCs w:val="24"/>
        </w:rPr>
        <w:t>六、完善政府采购质疑投诉和行政裁决机制</w:t>
      </w:r>
    </w:p>
    <w:p w14:paraId="21F09982"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畅通供应商质疑投诉渠道。研究建立与“互联网+政府采购”相适应的快速裁决通道，为供应商提供标准统一、高效便捷的维权服务。对供应商提出的质疑和投诉，采购人、采购代理机构和各级财政部门应当依法及时答复和处理。完善质疑答复内部控制制度，有条件的采购人和集中采购机构应当实现政府采购质疑答复岗位与操作执行岗位相分离，进一步健全政府采购质疑投诉处理机制。</w:t>
      </w:r>
    </w:p>
    <w:p w14:paraId="263DC62D"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依法依规实施行政处罚。各级财政部门实施政府采购行政处罚，应当依法保障当事人的告知权、陈述权、申辩权、</w:t>
      </w:r>
      <w:proofErr w:type="gramStart"/>
      <w:r w:rsidRPr="00C2305D">
        <w:rPr>
          <w:rFonts w:ascii="宋体" w:eastAsia="宋体" w:hAnsi="宋体" w:cs="宋体" w:hint="eastAsia"/>
          <w:color w:val="333333"/>
          <w:kern w:val="0"/>
          <w:sz w:val="24"/>
          <w:szCs w:val="24"/>
        </w:rPr>
        <w:t>听证权</w:t>
      </w:r>
      <w:proofErr w:type="gramEnd"/>
      <w:r w:rsidRPr="00C2305D">
        <w:rPr>
          <w:rFonts w:ascii="宋体" w:eastAsia="宋体" w:hAnsi="宋体" w:cs="宋体" w:hint="eastAsia"/>
          <w:color w:val="333333"/>
          <w:kern w:val="0"/>
          <w:sz w:val="24"/>
          <w:szCs w:val="24"/>
        </w:rPr>
        <w:t>等，保证程序合法。坚持处罚</w:t>
      </w:r>
      <w:r w:rsidRPr="00C2305D">
        <w:rPr>
          <w:rFonts w:ascii="宋体" w:eastAsia="宋体" w:hAnsi="宋体" w:cs="宋体" w:hint="eastAsia"/>
          <w:color w:val="333333"/>
          <w:kern w:val="0"/>
          <w:sz w:val="24"/>
          <w:szCs w:val="24"/>
        </w:rPr>
        <w:lastRenderedPageBreak/>
        <w:t>和教育相结合的原则，正确适用和区分从轻处罚、减轻处罚和不予处罚情形，</w:t>
      </w:r>
      <w:proofErr w:type="gramStart"/>
      <w:r w:rsidRPr="00C2305D">
        <w:rPr>
          <w:rFonts w:ascii="宋体" w:eastAsia="宋体" w:hAnsi="宋体" w:cs="宋体" w:hint="eastAsia"/>
          <w:color w:val="333333"/>
          <w:kern w:val="0"/>
          <w:sz w:val="24"/>
          <w:szCs w:val="24"/>
        </w:rPr>
        <w:t>作出</w:t>
      </w:r>
      <w:proofErr w:type="gramEnd"/>
      <w:r w:rsidRPr="00C2305D">
        <w:rPr>
          <w:rFonts w:ascii="宋体" w:eastAsia="宋体" w:hAnsi="宋体" w:cs="宋体" w:hint="eastAsia"/>
          <w:color w:val="333333"/>
          <w:kern w:val="0"/>
          <w:sz w:val="24"/>
          <w:szCs w:val="24"/>
        </w:rPr>
        <w:t>的行政处罚应与违法行为的事实、性质、情节以及社会危害程度相当。</w:t>
      </w:r>
    </w:p>
    <w:p w14:paraId="2AE87DCC" w14:textId="77777777" w:rsidR="00C2305D" w:rsidRPr="00C2305D" w:rsidRDefault="00C2305D" w:rsidP="00C2305D">
      <w:pPr>
        <w:widowControl/>
        <w:shd w:val="clear" w:color="auto" w:fill="FFFFFF"/>
        <w:spacing w:after="150"/>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各地区、各部门要充分认识维护政府采购公平竞争市场秩序、优化政府采购营商环境的重要意义，加强组织领导，明确工作责任，周密安排部署，强化监督检查，确保各项要求落实到位。</w:t>
      </w:r>
    </w:p>
    <w:p w14:paraId="342EBF98" w14:textId="77777777" w:rsidR="00C2305D" w:rsidRPr="00C2305D" w:rsidRDefault="00C2305D" w:rsidP="00C2305D">
      <w:pPr>
        <w:widowControl/>
        <w:shd w:val="clear" w:color="auto" w:fill="FFFFFF"/>
        <w:jc w:val="left"/>
        <w:rPr>
          <w:rFonts w:ascii="宋体" w:eastAsia="宋体" w:hAnsi="宋体" w:cs="宋体" w:hint="eastAsia"/>
          <w:color w:val="333333"/>
          <w:kern w:val="0"/>
          <w:sz w:val="24"/>
          <w:szCs w:val="24"/>
        </w:rPr>
      </w:pPr>
      <w:r w:rsidRPr="00C2305D">
        <w:rPr>
          <w:rFonts w:ascii="宋体" w:eastAsia="宋体" w:hAnsi="宋体" w:cs="宋体" w:hint="eastAsia"/>
          <w:color w:val="333333"/>
          <w:kern w:val="0"/>
          <w:sz w:val="24"/>
          <w:szCs w:val="24"/>
        </w:rPr>
        <w:t xml:space="preserve">　　本通知自2019年9月1日起施行。</w:t>
      </w:r>
    </w:p>
    <w:p w14:paraId="2C708BCE" w14:textId="77777777" w:rsidR="004B023C" w:rsidRPr="00C2305D" w:rsidRDefault="004B023C"/>
    <w:sectPr w:rsidR="004B023C" w:rsidRPr="00C230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5D"/>
    <w:rsid w:val="004B023C"/>
    <w:rsid w:val="00907D3F"/>
    <w:rsid w:val="00C23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09006"/>
  <w15:chartTrackingRefBased/>
  <w15:docId w15:val="{65A987D5-E2DD-429D-86B7-4DC7F911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C2305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C2305D"/>
    <w:rPr>
      <w:rFonts w:ascii="宋体" w:eastAsia="宋体" w:hAnsi="宋体" w:cs="宋体"/>
      <w:b/>
      <w:bCs/>
      <w:kern w:val="0"/>
      <w:sz w:val="36"/>
      <w:szCs w:val="36"/>
    </w:rPr>
  </w:style>
  <w:style w:type="paragraph" w:styleId="a3">
    <w:name w:val="Normal (Web)"/>
    <w:basedOn w:val="a"/>
    <w:uiPriority w:val="99"/>
    <w:semiHidden/>
    <w:unhideWhenUsed/>
    <w:rsid w:val="00C230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230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35101">
      <w:bodyDiv w:val="1"/>
      <w:marLeft w:val="0"/>
      <w:marRight w:val="0"/>
      <w:marTop w:val="0"/>
      <w:marBottom w:val="0"/>
      <w:divBdr>
        <w:top w:val="none" w:sz="0" w:space="0" w:color="auto"/>
        <w:left w:val="none" w:sz="0" w:space="0" w:color="auto"/>
        <w:bottom w:val="none" w:sz="0" w:space="0" w:color="auto"/>
        <w:right w:val="none" w:sz="0" w:space="0" w:color="auto"/>
      </w:divBdr>
      <w:divsChild>
        <w:div w:id="1054348547">
          <w:marLeft w:val="0"/>
          <w:marRight w:val="0"/>
          <w:marTop w:val="0"/>
          <w:marBottom w:val="300"/>
          <w:divBdr>
            <w:top w:val="none" w:sz="0" w:space="0" w:color="auto"/>
            <w:left w:val="none" w:sz="0" w:space="0" w:color="auto"/>
            <w:bottom w:val="single" w:sz="6" w:space="0" w:color="E5E5E5"/>
            <w:right w:val="none" w:sz="0" w:space="0" w:color="auto"/>
          </w:divBdr>
          <w:divsChild>
            <w:div w:id="1594512491">
              <w:marLeft w:val="0"/>
              <w:marRight w:val="0"/>
              <w:marTop w:val="0"/>
              <w:marBottom w:val="0"/>
              <w:divBdr>
                <w:top w:val="none" w:sz="0" w:space="0" w:color="auto"/>
                <w:left w:val="none" w:sz="0" w:space="0" w:color="auto"/>
                <w:bottom w:val="none" w:sz="0" w:space="0" w:color="auto"/>
                <w:right w:val="none" w:sz="0" w:space="0" w:color="auto"/>
              </w:divBdr>
              <w:divsChild>
                <w:div w:id="129848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28680">
          <w:marLeft w:val="0"/>
          <w:marRight w:val="0"/>
          <w:marTop w:val="0"/>
          <w:marBottom w:val="0"/>
          <w:divBdr>
            <w:top w:val="none" w:sz="0" w:space="0" w:color="auto"/>
            <w:left w:val="none" w:sz="0" w:space="0" w:color="auto"/>
            <w:bottom w:val="none" w:sz="0" w:space="0" w:color="auto"/>
            <w:right w:val="none" w:sz="0" w:space="0" w:color="auto"/>
          </w:divBdr>
          <w:divsChild>
            <w:div w:id="790367017">
              <w:marLeft w:val="0"/>
              <w:marRight w:val="0"/>
              <w:marTop w:val="0"/>
              <w:marBottom w:val="0"/>
              <w:divBdr>
                <w:top w:val="none" w:sz="0" w:space="0" w:color="auto"/>
                <w:left w:val="none" w:sz="0" w:space="0" w:color="auto"/>
                <w:bottom w:val="none" w:sz="0" w:space="0" w:color="auto"/>
                <w:right w:val="none" w:sz="0" w:space="0" w:color="auto"/>
              </w:divBdr>
              <w:divsChild>
                <w:div w:id="608391168">
                  <w:marLeft w:val="0"/>
                  <w:marRight w:val="0"/>
                  <w:marTop w:val="0"/>
                  <w:marBottom w:val="0"/>
                  <w:divBdr>
                    <w:top w:val="none" w:sz="0" w:space="0" w:color="auto"/>
                    <w:left w:val="none" w:sz="0" w:space="0" w:color="auto"/>
                    <w:bottom w:val="none" w:sz="0" w:space="0" w:color="auto"/>
                    <w:right w:val="none" w:sz="0" w:space="0" w:color="auto"/>
                  </w:divBdr>
                  <w:divsChild>
                    <w:div w:id="3117187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1</cp:revision>
  <dcterms:created xsi:type="dcterms:W3CDTF">2022-10-05T02:40:00Z</dcterms:created>
  <dcterms:modified xsi:type="dcterms:W3CDTF">2022-10-05T02:41:00Z</dcterms:modified>
</cp:coreProperties>
</file>