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312" w:afterLines="100" w:line="440" w:lineRule="exact"/>
        <w:jc w:val="center"/>
        <w:rPr>
          <w:rFonts w:hint="eastAsia" w:ascii="方正小标宋简体" w:hAnsi="宋体" w:eastAsia="方正小标宋简体"/>
          <w:b/>
          <w:bCs/>
          <w:kern w:val="0"/>
          <w:sz w:val="36"/>
          <w:szCs w:val="36"/>
          <w:lang w:eastAsia="zh-CN"/>
        </w:rPr>
      </w:pPr>
      <w:r>
        <w:rPr>
          <w:rFonts w:hint="eastAsia" w:ascii="方正小标宋简体" w:eastAsia="方正小标宋简体" w:cs="方正小标宋简体"/>
          <w:b/>
          <w:bCs/>
          <w:sz w:val="36"/>
          <w:szCs w:val="36"/>
        </w:rPr>
        <w:t>马铃薯主粮化战略研究中心</w:t>
      </w:r>
      <w:r>
        <w:rPr>
          <w:rFonts w:ascii="方正小标宋简体" w:eastAsia="方正小标宋简体" w:cs="方正小标宋简体"/>
          <w:b/>
          <w:bCs/>
          <w:sz w:val="36"/>
          <w:szCs w:val="36"/>
        </w:rPr>
        <w:t>20</w:t>
      </w:r>
      <w:r>
        <w:rPr>
          <w:rFonts w:hint="eastAsia" w:ascii="方正小标宋简体" w:eastAsia="方正小标宋简体" w:cs="方正小标宋简体"/>
          <w:b/>
          <w:bCs/>
          <w:sz w:val="36"/>
          <w:szCs w:val="36"/>
        </w:rPr>
        <w:t>2</w:t>
      </w:r>
      <w:r>
        <w:rPr>
          <w:rFonts w:hint="eastAsia" w:ascii="方正小标宋简体" w:eastAsia="方正小标宋简体" w:cs="方正小标宋简体"/>
          <w:b/>
          <w:bCs/>
          <w:sz w:val="36"/>
          <w:szCs w:val="36"/>
          <w:lang w:val="en-US" w:eastAsia="zh-CN"/>
        </w:rPr>
        <w:t>1</w:t>
      </w:r>
      <w:r>
        <w:rPr>
          <w:rFonts w:hint="eastAsia" w:ascii="方正小标宋简体" w:eastAsia="方正小标宋简体" w:cs="方正小标宋简体"/>
          <w:b/>
          <w:bCs/>
          <w:sz w:val="36"/>
          <w:szCs w:val="36"/>
        </w:rPr>
        <w:t>年项目指南</w:t>
      </w:r>
      <w:r>
        <w:rPr>
          <w:rFonts w:hint="eastAsia" w:ascii="方正小标宋简体" w:eastAsia="方正小标宋简体" w:cs="方正小标宋简体"/>
          <w:b/>
          <w:bCs/>
          <w:sz w:val="36"/>
          <w:szCs w:val="36"/>
          <w:lang w:eastAsia="zh-CN"/>
        </w:rPr>
        <w:t>意见</w:t>
      </w:r>
    </w:p>
    <w:p>
      <w:pPr>
        <w:spacing w:line="360" w:lineRule="auto"/>
        <w:ind w:firstLine="560" w:firstLineChars="200"/>
        <w:rPr>
          <w:rFonts w:hint="eastAsia" w:ascii="仿宋" w:hAnsi="仿宋" w:eastAsia="仿宋" w:cs="仿宋"/>
          <w:b/>
          <w:bCs/>
          <w:kern w:val="0"/>
          <w:sz w:val="28"/>
          <w:szCs w:val="28"/>
        </w:rPr>
      </w:pPr>
      <w:r>
        <w:rPr>
          <w:rFonts w:hint="eastAsia" w:ascii="仿宋" w:hAnsi="仿宋" w:eastAsia="仿宋" w:cs="仿宋"/>
          <w:color w:val="auto"/>
          <w:kern w:val="0"/>
          <w:sz w:val="28"/>
          <w:szCs w:val="28"/>
          <w:highlight w:val="none"/>
        </w:rPr>
        <w:t>经中心学术委员会拟定并审议通过，本年度项目资助方向如下。项目指南所列条目仅为申报者提供选题依据，申报者可以自拟题目。注*号为建议重点课题。</w:t>
      </w:r>
    </w:p>
    <w:p>
      <w:pPr>
        <w:spacing w:line="360" w:lineRule="auto"/>
        <w:ind w:firstLine="562" w:firstLineChars="200"/>
        <w:rPr>
          <w:rFonts w:hint="eastAsia" w:ascii="仿宋" w:hAnsi="仿宋" w:eastAsia="仿宋" w:cs="仿宋"/>
          <w:b/>
          <w:bCs/>
          <w:kern w:val="0"/>
          <w:sz w:val="28"/>
          <w:szCs w:val="28"/>
          <w:lang w:val="en-US" w:eastAsia="zh-CN"/>
        </w:rPr>
      </w:pPr>
      <w:r>
        <w:rPr>
          <w:rFonts w:hint="eastAsia" w:ascii="仿宋" w:hAnsi="仿宋" w:eastAsia="仿宋" w:cs="仿宋"/>
          <w:b/>
          <w:bCs/>
          <w:color w:val="auto"/>
          <w:kern w:val="0"/>
          <w:sz w:val="28"/>
          <w:szCs w:val="28"/>
          <w:highlight w:val="none"/>
          <w:lang w:val="en-US" w:eastAsia="zh-CN"/>
        </w:rPr>
        <w:t>*</w:t>
      </w:r>
      <w:r>
        <w:rPr>
          <w:rFonts w:hint="eastAsia" w:ascii="仿宋" w:hAnsi="仿宋" w:eastAsia="仿宋" w:cs="仿宋"/>
          <w:b/>
          <w:bCs/>
          <w:kern w:val="0"/>
          <w:sz w:val="28"/>
          <w:szCs w:val="28"/>
        </w:rPr>
        <w:t>1</w:t>
      </w: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lang w:val="en-US" w:eastAsia="zh-CN"/>
        </w:rPr>
        <w:t>马铃薯主粮化战略的瓶颈制约与政策建议</w:t>
      </w:r>
    </w:p>
    <w:p>
      <w:pPr>
        <w:spacing w:line="360" w:lineRule="auto"/>
        <w:ind w:firstLine="562" w:firstLineChars="200"/>
        <w:rPr>
          <w:rFonts w:hint="default" w:ascii="仿宋" w:hAnsi="仿宋" w:eastAsia="仿宋" w:cs="仿宋"/>
          <w:b/>
          <w:bCs/>
          <w:kern w:val="0"/>
          <w:sz w:val="28"/>
          <w:szCs w:val="28"/>
          <w:lang w:val="en-US" w:eastAsia="zh-CN"/>
        </w:rPr>
      </w:pPr>
      <w:r>
        <w:rPr>
          <w:rFonts w:hint="eastAsia" w:ascii="仿宋" w:hAnsi="仿宋" w:eastAsia="仿宋" w:cs="仿宋"/>
          <w:b/>
          <w:bCs/>
          <w:color w:val="auto"/>
          <w:kern w:val="0"/>
          <w:sz w:val="28"/>
          <w:szCs w:val="28"/>
          <w:highlight w:val="none"/>
          <w:lang w:val="en-US" w:eastAsia="zh-CN"/>
        </w:rPr>
        <w:t>*</w:t>
      </w:r>
      <w:r>
        <w:rPr>
          <w:rFonts w:hint="eastAsia" w:ascii="仿宋" w:hAnsi="仿宋" w:eastAsia="仿宋" w:cs="仿宋"/>
          <w:b/>
          <w:bCs/>
          <w:kern w:val="0"/>
          <w:sz w:val="28"/>
          <w:szCs w:val="28"/>
          <w:lang w:val="en-US" w:eastAsia="zh-CN"/>
        </w:rPr>
        <w:t>2、</w:t>
      </w:r>
      <w:r>
        <w:rPr>
          <w:rFonts w:hint="eastAsia" w:ascii="仿宋" w:hAnsi="仿宋" w:eastAsia="仿宋" w:cs="仿宋"/>
          <w:b/>
          <w:bCs/>
          <w:kern w:val="0"/>
          <w:sz w:val="28"/>
          <w:szCs w:val="28"/>
          <w:lang w:eastAsia="zh-CN"/>
        </w:rPr>
        <w:t>马铃薯主粮化对粮食安全的影响分析</w:t>
      </w:r>
    </w:p>
    <w:p>
      <w:pPr>
        <w:spacing w:line="360" w:lineRule="auto"/>
        <w:ind w:firstLine="562" w:firstLineChars="200"/>
        <w:rPr>
          <w:rFonts w:hint="default" w:ascii="仿宋" w:hAnsi="仿宋" w:eastAsia="仿宋" w:cs="仿宋"/>
          <w:b/>
          <w:bCs/>
          <w:kern w:val="0"/>
          <w:sz w:val="28"/>
          <w:szCs w:val="28"/>
          <w:lang w:val="en-US" w:eastAsia="zh-CN"/>
        </w:rPr>
      </w:pPr>
      <w:r>
        <w:rPr>
          <w:rFonts w:hint="eastAsia" w:ascii="仿宋" w:hAnsi="仿宋" w:eastAsia="仿宋" w:cs="仿宋"/>
          <w:b/>
          <w:bCs/>
          <w:color w:val="auto"/>
          <w:kern w:val="0"/>
          <w:sz w:val="28"/>
          <w:szCs w:val="28"/>
          <w:highlight w:val="none"/>
          <w:lang w:val="en-US" w:eastAsia="zh-CN"/>
        </w:rPr>
        <w:t>*</w:t>
      </w:r>
      <w:r>
        <w:rPr>
          <w:rFonts w:hint="eastAsia" w:ascii="仿宋" w:hAnsi="仿宋" w:eastAsia="仿宋" w:cs="仿宋"/>
          <w:b/>
          <w:bCs/>
          <w:kern w:val="0"/>
          <w:sz w:val="28"/>
          <w:szCs w:val="28"/>
          <w:lang w:val="en-US" w:eastAsia="zh-CN"/>
        </w:rPr>
        <w:t>3</w:t>
      </w: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lang w:val="en-US" w:eastAsia="zh-CN"/>
        </w:rPr>
        <w:t>四大主粮战略在顶层设计方面的对比研究</w:t>
      </w:r>
    </w:p>
    <w:p>
      <w:pPr>
        <w:spacing w:line="360" w:lineRule="auto"/>
        <w:ind w:firstLine="562" w:firstLineChars="200"/>
        <w:rPr>
          <w:rFonts w:hint="eastAsia" w:ascii="仿宋" w:hAnsi="仿宋" w:eastAsia="仿宋" w:cs="仿宋"/>
          <w:b/>
          <w:bCs/>
          <w:kern w:val="0"/>
          <w:sz w:val="28"/>
          <w:szCs w:val="28"/>
          <w:lang w:val="en-US" w:eastAsia="zh-CN"/>
        </w:rPr>
      </w:pPr>
      <w:r>
        <w:rPr>
          <w:rFonts w:hint="eastAsia" w:ascii="仿宋" w:hAnsi="仿宋" w:eastAsia="仿宋" w:cs="仿宋"/>
          <w:b/>
          <w:bCs/>
          <w:kern w:val="0"/>
          <w:sz w:val="28"/>
          <w:szCs w:val="28"/>
          <w:lang w:val="en-US" w:eastAsia="zh-CN"/>
        </w:rPr>
        <w:t>4、我国马铃薯价格波动分析与预测</w:t>
      </w:r>
    </w:p>
    <w:p>
      <w:pPr>
        <w:spacing w:line="360" w:lineRule="auto"/>
        <w:ind w:firstLine="562" w:firstLineChars="200"/>
        <w:rPr>
          <w:rFonts w:hint="eastAsia" w:ascii="仿宋" w:hAnsi="仿宋" w:eastAsia="仿宋" w:cs="仿宋"/>
          <w:b/>
          <w:bCs/>
          <w:kern w:val="0"/>
          <w:sz w:val="28"/>
          <w:szCs w:val="28"/>
        </w:rPr>
      </w:pPr>
      <w:r>
        <w:rPr>
          <w:rFonts w:hint="eastAsia" w:ascii="仿宋" w:hAnsi="仿宋" w:eastAsia="仿宋" w:cs="仿宋"/>
          <w:b/>
          <w:bCs/>
          <w:kern w:val="0"/>
          <w:sz w:val="28"/>
          <w:szCs w:val="28"/>
          <w:lang w:val="en-US" w:eastAsia="zh-CN"/>
        </w:rPr>
        <w:t>5</w:t>
      </w: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rPr>
        <w:t>马铃薯新品种、新技术、新模式推广与产业发展研究</w:t>
      </w:r>
    </w:p>
    <w:p>
      <w:pPr>
        <w:spacing w:line="360" w:lineRule="auto"/>
        <w:ind w:firstLine="562" w:firstLineChars="200"/>
        <w:rPr>
          <w:rFonts w:hint="eastAsia" w:ascii="仿宋" w:hAnsi="仿宋" w:eastAsia="仿宋" w:cs="仿宋"/>
          <w:b/>
          <w:bCs/>
          <w:kern w:val="0"/>
          <w:sz w:val="28"/>
          <w:szCs w:val="28"/>
        </w:rPr>
      </w:pPr>
      <w:r>
        <w:rPr>
          <w:rFonts w:hint="eastAsia" w:ascii="仿宋" w:hAnsi="仿宋" w:eastAsia="仿宋" w:cs="仿宋"/>
          <w:b/>
          <w:bCs/>
          <w:kern w:val="0"/>
          <w:sz w:val="28"/>
          <w:szCs w:val="28"/>
          <w:lang w:val="en-US" w:eastAsia="zh-CN"/>
        </w:rPr>
        <w:t>6</w:t>
      </w: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rPr>
        <w:t>马铃薯产销信息监测系统与预警分析研究</w:t>
      </w:r>
    </w:p>
    <w:p>
      <w:pPr>
        <w:spacing w:line="360" w:lineRule="auto"/>
        <w:ind w:firstLine="562" w:firstLineChars="200"/>
        <w:rPr>
          <w:rFonts w:hint="eastAsia" w:ascii="仿宋" w:hAnsi="仿宋" w:eastAsia="仿宋" w:cs="仿宋"/>
          <w:b/>
          <w:bCs/>
          <w:kern w:val="0"/>
          <w:sz w:val="28"/>
          <w:szCs w:val="28"/>
        </w:rPr>
      </w:pPr>
      <w:r>
        <w:rPr>
          <w:rFonts w:hint="eastAsia" w:ascii="仿宋" w:hAnsi="仿宋" w:eastAsia="仿宋" w:cs="仿宋"/>
          <w:b/>
          <w:bCs/>
          <w:kern w:val="0"/>
          <w:sz w:val="28"/>
          <w:szCs w:val="28"/>
          <w:lang w:val="en-US" w:eastAsia="zh-CN"/>
        </w:rPr>
        <w:t>7</w:t>
      </w: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rPr>
        <w:t>马铃薯主食化与产业开发政策体系构建问题研究</w:t>
      </w:r>
    </w:p>
    <w:p>
      <w:pPr>
        <w:spacing w:line="360" w:lineRule="auto"/>
        <w:ind w:firstLine="562" w:firstLineChars="200"/>
        <w:rPr>
          <w:rFonts w:hint="eastAsia" w:ascii="仿宋" w:hAnsi="仿宋" w:eastAsia="仿宋" w:cs="仿宋"/>
          <w:b/>
          <w:bCs/>
          <w:kern w:val="0"/>
          <w:sz w:val="28"/>
          <w:szCs w:val="28"/>
        </w:rPr>
      </w:pPr>
      <w:r>
        <w:rPr>
          <w:rFonts w:hint="eastAsia" w:ascii="仿宋" w:hAnsi="仿宋" w:eastAsia="仿宋" w:cs="仿宋"/>
          <w:b/>
          <w:bCs/>
          <w:kern w:val="0"/>
          <w:sz w:val="28"/>
          <w:szCs w:val="28"/>
          <w:lang w:val="en-US" w:eastAsia="zh-CN"/>
        </w:rPr>
        <w:t>8</w:t>
      </w: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rPr>
        <w:t>四川马铃薯产业优化布局研究</w:t>
      </w:r>
    </w:p>
    <w:p>
      <w:pPr>
        <w:spacing w:line="360" w:lineRule="auto"/>
        <w:ind w:firstLine="562" w:firstLineChars="200"/>
        <w:rPr>
          <w:rFonts w:hint="eastAsia" w:ascii="仿宋" w:hAnsi="仿宋" w:eastAsia="仿宋" w:cs="仿宋"/>
          <w:b/>
          <w:bCs/>
          <w:kern w:val="0"/>
          <w:sz w:val="28"/>
          <w:szCs w:val="28"/>
          <w:lang w:val="en-US" w:eastAsia="zh-CN"/>
        </w:rPr>
      </w:pPr>
      <w:r>
        <w:rPr>
          <w:rFonts w:hint="eastAsia" w:ascii="仿宋" w:hAnsi="仿宋" w:eastAsia="仿宋" w:cs="仿宋"/>
          <w:b/>
          <w:bCs/>
          <w:kern w:val="0"/>
          <w:sz w:val="28"/>
          <w:szCs w:val="28"/>
          <w:lang w:val="en-US" w:eastAsia="zh-CN"/>
        </w:rPr>
        <w:t>9</w:t>
      </w: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rPr>
        <w:t>四川马铃薯产品市场开发研究</w:t>
      </w:r>
    </w:p>
    <w:p>
      <w:pPr>
        <w:spacing w:line="360" w:lineRule="auto"/>
        <w:ind w:firstLine="562" w:firstLineChars="200"/>
        <w:rPr>
          <w:rFonts w:hint="eastAsia" w:ascii="仿宋" w:hAnsi="仿宋" w:eastAsia="仿宋" w:cs="仿宋"/>
          <w:b/>
          <w:bCs/>
          <w:kern w:val="0"/>
          <w:sz w:val="28"/>
          <w:szCs w:val="28"/>
          <w:lang w:val="en-US" w:eastAsia="zh-CN"/>
        </w:rPr>
      </w:pPr>
      <w:r>
        <w:rPr>
          <w:rFonts w:hint="eastAsia" w:ascii="仿宋" w:hAnsi="仿宋" w:eastAsia="仿宋" w:cs="仿宋"/>
          <w:b/>
          <w:bCs/>
          <w:kern w:val="0"/>
          <w:sz w:val="28"/>
          <w:szCs w:val="28"/>
          <w:lang w:val="en-US" w:eastAsia="zh-CN"/>
        </w:rPr>
        <w:t>10</w:t>
      </w: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lang w:val="en-US" w:eastAsia="zh-CN"/>
        </w:rPr>
        <w:t>四川马铃薯主粮化的实施进展、存在的问题及对策</w:t>
      </w:r>
    </w:p>
    <w:p>
      <w:pPr>
        <w:spacing w:line="360" w:lineRule="auto"/>
        <w:ind w:firstLine="562" w:firstLineChars="200"/>
        <w:rPr>
          <w:rFonts w:hint="eastAsia" w:ascii="仿宋" w:hAnsi="仿宋" w:eastAsia="仿宋" w:cs="仿宋"/>
          <w:b/>
          <w:bCs/>
          <w:kern w:val="0"/>
          <w:sz w:val="28"/>
          <w:szCs w:val="28"/>
        </w:rPr>
      </w:pPr>
      <w:r>
        <w:rPr>
          <w:rFonts w:hint="eastAsia" w:ascii="仿宋" w:hAnsi="仿宋" w:eastAsia="仿宋" w:cs="仿宋"/>
          <w:b/>
          <w:bCs/>
          <w:kern w:val="0"/>
          <w:sz w:val="28"/>
          <w:szCs w:val="28"/>
        </w:rPr>
        <w:t>1</w:t>
      </w:r>
      <w:r>
        <w:rPr>
          <w:rFonts w:hint="eastAsia" w:ascii="仿宋" w:hAnsi="仿宋" w:eastAsia="仿宋" w:cs="仿宋"/>
          <w:b/>
          <w:bCs/>
          <w:kern w:val="0"/>
          <w:sz w:val="28"/>
          <w:szCs w:val="28"/>
          <w:lang w:val="en-US" w:eastAsia="zh-CN"/>
        </w:rPr>
        <w:t>1</w:t>
      </w: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rPr>
        <w:t>四川彝族地区农业高质量发展研究</w:t>
      </w:r>
    </w:p>
    <w:p>
      <w:pPr>
        <w:spacing w:line="360" w:lineRule="auto"/>
        <w:ind w:firstLine="562" w:firstLineChars="200"/>
        <w:rPr>
          <w:rFonts w:hint="default" w:ascii="仿宋" w:hAnsi="仿宋" w:eastAsia="仿宋" w:cs="仿宋"/>
          <w:b/>
          <w:bCs/>
          <w:kern w:val="0"/>
          <w:sz w:val="28"/>
          <w:szCs w:val="28"/>
          <w:lang w:val="en-US" w:eastAsia="zh-CN"/>
        </w:rPr>
      </w:pPr>
      <w:r>
        <w:rPr>
          <w:rFonts w:hint="eastAsia" w:ascii="仿宋" w:hAnsi="仿宋" w:eastAsia="仿宋" w:cs="仿宋"/>
          <w:b/>
          <w:bCs/>
          <w:kern w:val="0"/>
          <w:sz w:val="28"/>
          <w:szCs w:val="28"/>
        </w:rPr>
        <w:t>1</w:t>
      </w:r>
      <w:r>
        <w:rPr>
          <w:rFonts w:hint="eastAsia" w:ascii="仿宋" w:hAnsi="仿宋" w:eastAsia="仿宋" w:cs="仿宋"/>
          <w:b/>
          <w:bCs/>
          <w:kern w:val="0"/>
          <w:sz w:val="28"/>
          <w:szCs w:val="28"/>
          <w:lang w:val="en-US" w:eastAsia="zh-CN"/>
        </w:rPr>
        <w:t>2、凉山州马铃薯发展情况综述</w:t>
      </w:r>
    </w:p>
    <w:p>
      <w:pPr>
        <w:spacing w:line="360" w:lineRule="auto"/>
        <w:ind w:firstLine="562" w:firstLineChars="200"/>
        <w:rPr>
          <w:rFonts w:hint="eastAsia" w:ascii="仿宋" w:hAnsi="仿宋" w:eastAsia="仿宋" w:cs="仿宋"/>
          <w:b/>
          <w:bCs/>
          <w:kern w:val="0"/>
          <w:sz w:val="28"/>
          <w:szCs w:val="28"/>
          <w:lang w:val="en-US" w:eastAsia="zh-CN"/>
        </w:rPr>
      </w:pPr>
      <w:r>
        <w:rPr>
          <w:rFonts w:hint="eastAsia" w:ascii="仿宋" w:hAnsi="仿宋" w:eastAsia="仿宋" w:cs="仿宋"/>
          <w:b/>
          <w:bCs/>
          <w:kern w:val="0"/>
          <w:sz w:val="28"/>
          <w:szCs w:val="28"/>
          <w:lang w:val="en-US" w:eastAsia="zh-CN"/>
        </w:rPr>
        <w:t>13、凉山马铃薯主产区产销价格调查研究</w:t>
      </w:r>
    </w:p>
    <w:p>
      <w:pPr>
        <w:spacing w:line="360" w:lineRule="auto"/>
        <w:ind w:firstLine="562" w:firstLineChars="200"/>
        <w:rPr>
          <w:rFonts w:hint="default" w:ascii="仿宋" w:hAnsi="仿宋" w:eastAsia="仿宋" w:cs="仿宋"/>
          <w:b/>
          <w:bCs/>
          <w:kern w:val="0"/>
          <w:sz w:val="28"/>
          <w:szCs w:val="28"/>
          <w:lang w:val="en-US" w:eastAsia="zh-CN"/>
        </w:rPr>
      </w:pPr>
      <w:r>
        <w:rPr>
          <w:rFonts w:hint="eastAsia" w:ascii="仿宋" w:hAnsi="仿宋" w:eastAsia="仿宋" w:cs="仿宋"/>
          <w:b/>
          <w:bCs/>
          <w:kern w:val="0"/>
          <w:sz w:val="28"/>
          <w:szCs w:val="28"/>
          <w:lang w:val="en-US" w:eastAsia="zh-CN"/>
        </w:rPr>
        <w:t>14、凉山马铃薯产业在巩固脱贫攻坚成果衔接乡村振兴战略中的作用研究</w:t>
      </w:r>
    </w:p>
    <w:p>
      <w:pPr>
        <w:spacing w:line="360" w:lineRule="auto"/>
        <w:ind w:firstLine="562" w:firstLineChars="200"/>
        <w:rPr>
          <w:rFonts w:hint="eastAsia" w:ascii="仿宋" w:hAnsi="仿宋" w:eastAsia="仿宋" w:cs="仿宋"/>
          <w:b/>
          <w:bCs/>
          <w:kern w:val="0"/>
          <w:sz w:val="28"/>
          <w:szCs w:val="28"/>
          <w:lang w:val="en-US" w:eastAsia="zh-CN"/>
        </w:rPr>
      </w:pPr>
      <w:r>
        <w:rPr>
          <w:rFonts w:hint="eastAsia" w:ascii="仿宋" w:hAnsi="仿宋" w:eastAsia="仿宋" w:cs="仿宋"/>
          <w:b/>
          <w:bCs/>
          <w:kern w:val="0"/>
          <w:sz w:val="28"/>
          <w:szCs w:val="28"/>
          <w:lang w:val="en-US" w:eastAsia="zh-CN"/>
        </w:rPr>
        <w:t>15</w:t>
      </w: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lang w:val="en-US" w:eastAsia="zh-CN"/>
        </w:rPr>
        <w:t>马铃薯产业作为支柱产业的可行性研究</w:t>
      </w:r>
      <w:bookmarkStart w:id="0" w:name="_GoBack"/>
      <w:bookmarkEnd w:id="0"/>
    </w:p>
    <w:p>
      <w:pPr>
        <w:spacing w:line="360" w:lineRule="auto"/>
        <w:ind w:firstLine="562" w:firstLineChars="200"/>
        <w:rPr>
          <w:rFonts w:hint="eastAsia" w:ascii="仿宋" w:hAnsi="仿宋" w:eastAsia="仿宋" w:cs="仿宋"/>
          <w:b/>
          <w:bCs/>
          <w:kern w:val="0"/>
          <w:sz w:val="28"/>
          <w:szCs w:val="28"/>
        </w:rPr>
      </w:pPr>
      <w:r>
        <w:rPr>
          <w:rFonts w:hint="eastAsia" w:ascii="仿宋" w:hAnsi="仿宋" w:eastAsia="仿宋" w:cs="仿宋"/>
          <w:b/>
          <w:bCs/>
          <w:kern w:val="0"/>
          <w:sz w:val="28"/>
          <w:szCs w:val="28"/>
        </w:rPr>
        <w:t>1</w:t>
      </w:r>
      <w:r>
        <w:rPr>
          <w:rFonts w:hint="eastAsia" w:ascii="仿宋" w:hAnsi="仿宋" w:eastAsia="仿宋" w:cs="仿宋"/>
          <w:b/>
          <w:bCs/>
          <w:kern w:val="0"/>
          <w:sz w:val="28"/>
          <w:szCs w:val="28"/>
          <w:lang w:val="en-US" w:eastAsia="zh-CN"/>
        </w:rPr>
        <w:t>6</w:t>
      </w:r>
      <w:r>
        <w:rPr>
          <w:rFonts w:hint="eastAsia" w:ascii="仿宋" w:hAnsi="仿宋" w:eastAsia="仿宋" w:cs="仿宋"/>
          <w:b/>
          <w:bCs/>
          <w:kern w:val="0"/>
          <w:sz w:val="28"/>
          <w:szCs w:val="28"/>
          <w:lang w:eastAsia="zh-CN"/>
        </w:rPr>
        <w:t>、凉山州</w:t>
      </w:r>
      <w:r>
        <w:rPr>
          <w:rFonts w:hint="eastAsia" w:ascii="仿宋" w:hAnsi="仿宋" w:eastAsia="仿宋" w:cs="仿宋"/>
          <w:b/>
          <w:bCs/>
          <w:kern w:val="0"/>
          <w:sz w:val="28"/>
          <w:szCs w:val="28"/>
        </w:rPr>
        <w:t>马铃薯电商发展瓶颈及其解决路径研究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FA72A5"/>
    <w:rsid w:val="29084622"/>
    <w:rsid w:val="4A556BE2"/>
    <w:rsid w:val="51FA72A5"/>
    <w:rsid w:val="591133F0"/>
    <w:rsid w:val="77D62163"/>
    <w:rsid w:val="7FE56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2021-04-30T00:59:00Z</dcterms:created>
  <dc:creator>唐正霞</dc:creator>
  <cp:lastModifiedBy>唐正霞</cp:lastModifiedBy>
  <cp:lastPrinted>2021-04-30T01:09:00Z</cp:lastPrinted>
  <dcterms:modified xsi:type="dcterms:W3CDTF">2021-04-30T08:50:39Z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67358DC88CBB49C5BFB23652AD325432</vt:lpwstr>
  </property>
</Properties>
</file>